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7107">
      <w:pPr>
        <w:spacing w:before="4"/>
        <w:rPr>
          <w:rFonts w:ascii="Times New Roman" w:hAnsi="Times New Roman" w:eastAsia="Times New Roman" w:cs="Times New Roman"/>
          <w:sz w:val="6"/>
          <w:szCs w:val="6"/>
        </w:rPr>
      </w:pPr>
    </w:p>
    <w:p w14:paraId="68B9352E">
      <w:pPr>
        <w:spacing w:line="1932" w:lineRule="exact"/>
        <w:ind w:left="145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38"/>
          <w:sz w:val="20"/>
          <w:szCs w:val="20"/>
          <w:lang w:eastAsia="zh-CN"/>
        </w:rPr>
        <w:drawing>
          <wp:inline distT="0" distB="0" distL="0" distR="0">
            <wp:extent cx="3599180" cy="12268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183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7B364">
      <w:pPr>
        <w:spacing w:before="7"/>
        <w:rPr>
          <w:rFonts w:ascii="Times New Roman" w:hAnsi="Times New Roman" w:eastAsia="Times New Roman" w:cs="Times New Roman"/>
          <w:sz w:val="28"/>
          <w:szCs w:val="28"/>
        </w:rPr>
      </w:pPr>
    </w:p>
    <w:p w14:paraId="392C9FB4">
      <w:pPr>
        <w:spacing w:before="3"/>
        <w:ind w:right="69"/>
        <w:jc w:val="center"/>
        <w:rPr>
          <w:rFonts w:ascii="宋体" w:hAnsi="宋体" w:eastAsia="宋体" w:cs="宋体"/>
          <w:sz w:val="26"/>
          <w:szCs w:val="26"/>
          <w:lang w:eastAsia="zh-CN"/>
        </w:rPr>
      </w:pPr>
    </w:p>
    <w:p w14:paraId="212E5A02">
      <w:pPr>
        <w:spacing w:before="3"/>
        <w:ind w:right="69"/>
        <w:jc w:val="center"/>
        <w:rPr>
          <w:rFonts w:ascii="宋体" w:hAnsi="宋体" w:eastAsia="宋体" w:cs="宋体"/>
          <w:sz w:val="26"/>
          <w:szCs w:val="26"/>
          <w:lang w:eastAsia="zh-CN"/>
        </w:rPr>
      </w:pPr>
      <w:r>
        <w:rPr>
          <w:rFonts w:ascii="宋体" w:hAnsi="宋体" w:eastAsia="宋体" w:cs="宋体"/>
          <w:sz w:val="26"/>
          <w:szCs w:val="26"/>
          <w:lang w:eastAsia="zh-CN"/>
        </w:rPr>
        <w:t>聊城大学本科学生成绩单相关说明</w:t>
      </w:r>
    </w:p>
    <w:p w14:paraId="2DD1EC5C">
      <w:pPr>
        <w:pStyle w:val="2"/>
        <w:spacing w:before="200"/>
        <w:ind w:left="120" w:firstLine="274"/>
        <w:rPr>
          <w:w w:val="105"/>
        </w:rPr>
      </w:pPr>
      <w:r>
        <w:rPr>
          <w:w w:val="105"/>
        </w:rPr>
        <w:t xml:space="preserve">Explanation of Undergraduate Academic </w:t>
      </w:r>
      <w:r>
        <w:rPr>
          <w:spacing w:val="-3"/>
          <w:w w:val="105"/>
        </w:rPr>
        <w:t xml:space="preserve">Transcipt </w:t>
      </w:r>
      <w:r>
        <w:rPr>
          <w:w w:val="105"/>
        </w:rPr>
        <w:t xml:space="preserve">in Liaocheng </w:t>
      </w:r>
      <w:r>
        <w:rPr>
          <w:spacing w:val="44"/>
          <w:w w:val="105"/>
        </w:rPr>
        <w:t xml:space="preserve"> </w:t>
      </w:r>
      <w:r>
        <w:rPr>
          <w:w w:val="105"/>
        </w:rPr>
        <w:t>University</w:t>
      </w:r>
    </w:p>
    <w:p w14:paraId="2087B1B5">
      <w:pPr>
        <w:pStyle w:val="2"/>
        <w:spacing w:before="200"/>
        <w:ind w:left="120" w:firstLine="274"/>
        <w:rPr>
          <w:w w:val="105"/>
        </w:rPr>
      </w:pPr>
    </w:p>
    <w:p w14:paraId="381DF5EA">
      <w:pPr>
        <w:spacing w:before="8"/>
        <w:rPr>
          <w:rFonts w:ascii="Times New Roman" w:hAnsi="Times New Roman" w:eastAsia="Times New Roman" w:cs="Times New Roman"/>
          <w:sz w:val="24"/>
          <w:szCs w:val="24"/>
        </w:rPr>
      </w:pPr>
    </w:p>
    <w:p w14:paraId="6D8BBDDC">
      <w:pPr>
        <w:pStyle w:val="3"/>
        <w:spacing w:line="256" w:lineRule="auto"/>
        <w:ind w:left="0"/>
        <w:rPr>
          <w:rFonts w:ascii="宋体" w:hAnsi="宋体" w:eastAsia="宋体" w:cs="宋体"/>
          <w:spacing w:val="-4"/>
          <w:lang w:eastAsia="zh-CN"/>
        </w:rPr>
      </w:pPr>
      <w:r>
        <w:rPr>
          <w:rFonts w:hint="eastAsia" w:ascii="宋体" w:hAnsi="宋体" w:eastAsia="宋体" w:cs="宋体"/>
          <w:spacing w:val="-4"/>
          <w:lang w:eastAsia="zh-CN"/>
        </w:rPr>
        <w:t>一、</w:t>
      </w:r>
      <w:r>
        <w:rPr>
          <w:rFonts w:ascii="宋体" w:hAnsi="宋体" w:eastAsia="宋体" w:cs="宋体"/>
          <w:spacing w:val="-4"/>
          <w:lang w:eastAsia="zh-CN"/>
        </w:rPr>
        <w:t>平均学分绩点计算公式（</w:t>
      </w:r>
      <w:r>
        <w:rPr>
          <w:rFonts w:cs="Times New Roman"/>
          <w:spacing w:val="-4"/>
          <w:lang w:eastAsia="zh-CN"/>
        </w:rPr>
        <w:t xml:space="preserve">GPA </w:t>
      </w:r>
      <w:r>
        <w:rPr>
          <w:rFonts w:cs="Times New Roman"/>
          <w:lang w:eastAsia="zh-CN"/>
        </w:rPr>
        <w:t>Formula</w:t>
      </w:r>
      <w:r>
        <w:rPr>
          <w:rFonts w:ascii="宋体" w:hAnsi="宋体" w:eastAsia="宋体" w:cs="宋体"/>
          <w:lang w:eastAsia="zh-CN"/>
        </w:rPr>
        <w:t>）</w:t>
      </w:r>
      <w:r>
        <w:rPr>
          <w:rFonts w:ascii="宋体" w:hAnsi="宋体" w:eastAsia="宋体" w:cs="宋体"/>
          <w:spacing w:val="-4"/>
          <w:lang w:eastAsia="zh-CN"/>
        </w:rPr>
        <w:t xml:space="preserve"> </w:t>
      </w:r>
    </w:p>
    <w:p w14:paraId="387B80D1">
      <w:pPr>
        <w:pStyle w:val="3"/>
        <w:spacing w:line="256" w:lineRule="auto"/>
        <w:ind w:left="0" w:firstLine="660" w:firstLineChars="300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平均学分绩点</w:t>
      </w:r>
      <w:r>
        <w:rPr>
          <w:lang w:eastAsia="zh-CN"/>
        </w:rPr>
        <w:t>=</w:t>
      </w:r>
      <w:r>
        <w:rPr>
          <w:rFonts w:ascii="宋体" w:hAnsi="宋体" w:eastAsia="宋体" w:cs="宋体"/>
          <w:lang w:eastAsia="zh-CN"/>
        </w:rPr>
        <w:t>∑</w:t>
      </w:r>
      <w:r>
        <w:rPr>
          <w:lang w:eastAsia="zh-CN"/>
        </w:rPr>
        <w:t>(</w:t>
      </w:r>
      <w:r>
        <w:rPr>
          <w:rFonts w:ascii="宋体" w:hAnsi="宋体" w:eastAsia="宋体" w:cs="宋体"/>
          <w:lang w:eastAsia="zh-CN"/>
        </w:rPr>
        <w:t>课程绩点</w:t>
      </w:r>
      <w:r>
        <w:rPr>
          <w:lang w:eastAsia="zh-CN"/>
        </w:rPr>
        <w:t>*</w:t>
      </w:r>
      <w:r>
        <w:rPr>
          <w:rFonts w:ascii="宋体" w:hAnsi="宋体" w:eastAsia="宋体" w:cs="宋体"/>
          <w:lang w:eastAsia="zh-CN"/>
        </w:rPr>
        <w:t>课程学分</w:t>
      </w:r>
      <w:r>
        <w:rPr>
          <w:lang w:eastAsia="zh-CN"/>
        </w:rPr>
        <w:t>)/</w:t>
      </w:r>
      <w:r>
        <w:rPr>
          <w:rFonts w:ascii="宋体" w:hAnsi="宋体" w:eastAsia="宋体" w:cs="宋体"/>
          <w:lang w:eastAsia="zh-CN"/>
        </w:rPr>
        <w:t>∑课程学分；</w:t>
      </w:r>
    </w:p>
    <w:p w14:paraId="146BF71F">
      <w:pPr>
        <w:pStyle w:val="3"/>
        <w:spacing w:before="1"/>
        <w:rPr>
          <w:rFonts w:ascii="宋体" w:hAnsi="宋体" w:eastAsia="宋体" w:cs="宋体"/>
          <w:b w:val="0"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eastAsia="zh-CN"/>
        </w:rPr>
        <w:t>我校平均学分绩点计算范围：主修专业人才培养方案中除通识选修课外的所有课程</w:t>
      </w:r>
      <w:r>
        <w:rPr>
          <w:rFonts w:ascii="宋体" w:hAnsi="宋体" w:eastAsia="宋体" w:cs="宋体"/>
          <w:b w:val="0"/>
          <w:bCs w:val="0"/>
          <w:color w:val="auto"/>
          <w:lang w:eastAsia="zh-CN"/>
        </w:rPr>
        <w:t>。</w:t>
      </w:r>
    </w:p>
    <w:p w14:paraId="738FFD66">
      <w:pPr>
        <w:pStyle w:val="3"/>
        <w:ind w:firstLine="660" w:firstLineChars="300"/>
        <w:jc w:val="both"/>
        <w:rPr>
          <w:rFonts w:hint="eastAsia" w:eastAsia="宋体"/>
          <w:lang w:eastAsia="zh-CN"/>
        </w:rPr>
      </w:pPr>
      <w:r>
        <w:t>GPA=</w:t>
      </w:r>
      <w:r>
        <w:rPr>
          <w:rFonts w:ascii="宋体" w:hAnsi="宋体" w:eastAsia="宋体" w:cs="宋体"/>
        </w:rPr>
        <w:t>∑</w:t>
      </w:r>
      <w:r>
        <w:t>(grade points*course credits)/</w:t>
      </w:r>
      <w:r>
        <w:rPr>
          <w:rFonts w:ascii="宋体" w:hAnsi="宋体" w:eastAsia="宋体" w:cs="宋体"/>
        </w:rPr>
        <w:t>∑</w:t>
      </w:r>
      <w:r>
        <w:t>course</w:t>
      </w:r>
      <w:r>
        <w:rPr>
          <w:spacing w:val="-17"/>
        </w:rPr>
        <w:t xml:space="preserve"> </w:t>
      </w:r>
      <w:r>
        <w:t>credits</w:t>
      </w:r>
      <w:r>
        <w:rPr>
          <w:rFonts w:hint="eastAsia" w:eastAsia="宋体"/>
          <w:lang w:eastAsia="zh-CN"/>
        </w:rPr>
        <w:t>；</w:t>
      </w:r>
    </w:p>
    <w:p w14:paraId="4E74F63E">
      <w:pPr>
        <w:pStyle w:val="3"/>
        <w:spacing w:before="71" w:line="295" w:lineRule="auto"/>
        <w:rPr>
          <w:rFonts w:cs="Times New Roman"/>
          <w:color w:val="auto"/>
        </w:rPr>
      </w:pPr>
      <w:r>
        <w:rPr>
          <w:rFonts w:hint="eastAsia"/>
          <w:color w:val="auto"/>
        </w:rPr>
        <w:t>The calculation scope of our university's average GPA: all courses in the undergraduate talent cultivation program for the major,  with the exception of general elective courses.</w:t>
      </w:r>
    </w:p>
    <w:p w14:paraId="261E2336">
      <w:pPr>
        <w:pStyle w:val="3"/>
        <w:spacing w:line="243" w:lineRule="exact"/>
        <w:ind w:left="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w w:val="105"/>
        </w:rPr>
        <w:t>二、考核成绩与绩点的对应关系（</w:t>
      </w:r>
      <w:r>
        <w:rPr>
          <w:rFonts w:cs="Times New Roman"/>
          <w:w w:val="105"/>
        </w:rPr>
        <w:t>Correspondence</w:t>
      </w:r>
      <w:r>
        <w:rPr>
          <w:rFonts w:cs="Times New Roman"/>
          <w:spacing w:val="-15"/>
          <w:w w:val="105"/>
        </w:rPr>
        <w:t xml:space="preserve"> </w:t>
      </w:r>
      <w:r>
        <w:rPr>
          <w:rFonts w:cs="Times New Roman"/>
          <w:w w:val="105"/>
        </w:rPr>
        <w:t>between</w:t>
      </w:r>
      <w:r>
        <w:rPr>
          <w:rFonts w:cs="Times New Roman"/>
          <w:spacing w:val="-18"/>
          <w:w w:val="105"/>
        </w:rPr>
        <w:t xml:space="preserve"> </w:t>
      </w:r>
      <w:r>
        <w:rPr>
          <w:rFonts w:cs="Times New Roman"/>
          <w:w w:val="105"/>
        </w:rPr>
        <w:t>test</w:t>
      </w:r>
      <w:r>
        <w:rPr>
          <w:rFonts w:cs="Times New Roman"/>
          <w:spacing w:val="-21"/>
          <w:w w:val="105"/>
        </w:rPr>
        <w:t xml:space="preserve"> </w:t>
      </w:r>
      <w:r>
        <w:rPr>
          <w:rFonts w:cs="Times New Roman"/>
          <w:w w:val="105"/>
        </w:rPr>
        <w:t>scores</w:t>
      </w:r>
      <w:r>
        <w:rPr>
          <w:rFonts w:cs="Times New Roman"/>
          <w:spacing w:val="-22"/>
          <w:w w:val="105"/>
        </w:rPr>
        <w:t xml:space="preserve"> </w:t>
      </w:r>
      <w:r>
        <w:rPr>
          <w:rFonts w:cs="Times New Roman"/>
          <w:w w:val="105"/>
        </w:rPr>
        <w:t>and</w:t>
      </w:r>
      <w:r>
        <w:rPr>
          <w:rFonts w:cs="Times New Roman"/>
          <w:spacing w:val="-19"/>
          <w:w w:val="105"/>
        </w:rPr>
        <w:t xml:space="preserve"> </w:t>
      </w:r>
      <w:r>
        <w:rPr>
          <w:rFonts w:cs="Times New Roman"/>
          <w:w w:val="105"/>
        </w:rPr>
        <w:t>GPA</w:t>
      </w:r>
      <w:r>
        <w:rPr>
          <w:rFonts w:ascii="宋体" w:hAnsi="宋体" w:eastAsia="宋体" w:cs="宋体"/>
          <w:w w:val="105"/>
        </w:rPr>
        <w:t>）</w:t>
      </w:r>
    </w:p>
    <w:p w14:paraId="3197CA15">
      <w:pPr>
        <w:pStyle w:val="3"/>
        <w:spacing w:before="7"/>
        <w:jc w:val="both"/>
      </w:pPr>
      <w:r>
        <w:rPr>
          <w:rFonts w:ascii="宋体" w:hAnsi="宋体" w:eastAsia="宋体" w:cs="宋体"/>
        </w:rPr>
        <w:t>百分制考核的课程，以</w:t>
      </w:r>
      <w:r>
        <w:rPr>
          <w:rFonts w:ascii="宋体" w:hAnsi="宋体" w:eastAsia="宋体" w:cs="宋体"/>
          <w:spacing w:val="-52"/>
        </w:rPr>
        <w:t xml:space="preserve"> </w:t>
      </w:r>
      <w:r>
        <w:t>60</w:t>
      </w:r>
      <w:r>
        <w:rPr>
          <w:spacing w:val="1"/>
        </w:rPr>
        <w:t xml:space="preserve"> </w:t>
      </w:r>
      <w:r>
        <w:rPr>
          <w:rFonts w:ascii="宋体" w:hAnsi="宋体" w:eastAsia="宋体" w:cs="宋体"/>
        </w:rPr>
        <w:t>分为</w:t>
      </w:r>
      <w:r>
        <w:rPr>
          <w:rFonts w:ascii="宋体" w:hAnsi="宋体" w:eastAsia="宋体" w:cs="宋体"/>
          <w:spacing w:val="-54"/>
        </w:rPr>
        <w:t xml:space="preserve"> </w:t>
      </w:r>
      <w:r>
        <w:t>1.0</w:t>
      </w:r>
      <w:r>
        <w:rPr>
          <w:spacing w:val="4"/>
        </w:rPr>
        <w:t xml:space="preserve"> </w:t>
      </w:r>
      <w:r>
        <w:rPr>
          <w:rFonts w:ascii="宋体" w:hAnsi="宋体" w:eastAsia="宋体" w:cs="宋体"/>
        </w:rPr>
        <w:t>个绩点，</w:t>
      </w:r>
      <w:r>
        <w:t>60</w:t>
      </w:r>
      <w:r>
        <w:rPr>
          <w:spacing w:val="1"/>
        </w:rPr>
        <w:t xml:space="preserve"> </w:t>
      </w:r>
      <w:r>
        <w:rPr>
          <w:rFonts w:ascii="宋体" w:hAnsi="宋体" w:eastAsia="宋体" w:cs="宋体"/>
        </w:rPr>
        <w:t>分以下为</w:t>
      </w:r>
      <w:r>
        <w:rPr>
          <w:rFonts w:ascii="宋体" w:hAnsi="宋体" w:eastAsia="宋体" w:cs="宋体"/>
          <w:spacing w:val="-50"/>
        </w:rPr>
        <w:t xml:space="preserve"> </w:t>
      </w:r>
      <w:r>
        <w:t>0</w:t>
      </w:r>
      <w:r>
        <w:rPr>
          <w:rFonts w:ascii="宋体" w:hAnsi="宋体" w:eastAsia="宋体" w:cs="宋体"/>
        </w:rPr>
        <w:t>。</w:t>
      </w:r>
      <w:r>
        <w:t>60-95</w:t>
      </w:r>
      <w:r>
        <w:rPr>
          <w:spacing w:val="7"/>
        </w:rPr>
        <w:t xml:space="preserve"> </w:t>
      </w:r>
      <w:r>
        <w:rPr>
          <w:rFonts w:ascii="宋体" w:hAnsi="宋体" w:eastAsia="宋体" w:cs="宋体"/>
        </w:rPr>
        <w:t>分（不含）每增加</w:t>
      </w:r>
      <w:r>
        <w:rPr>
          <w:rFonts w:ascii="宋体" w:hAnsi="宋体" w:eastAsia="宋体" w:cs="宋体"/>
          <w:spacing w:val="-53"/>
        </w:rPr>
        <w:t xml:space="preserve"> </w:t>
      </w:r>
      <w:r>
        <w:t>1</w:t>
      </w:r>
    </w:p>
    <w:p w14:paraId="14C5B543">
      <w:pPr>
        <w:pStyle w:val="3"/>
        <w:spacing w:before="7"/>
        <w:jc w:val="both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分增加</w:t>
      </w:r>
      <w:r>
        <w:rPr>
          <w:rFonts w:ascii="宋体" w:hAnsi="宋体" w:eastAsia="宋体" w:cs="宋体"/>
          <w:spacing w:val="-51"/>
          <w:lang w:eastAsia="zh-CN"/>
        </w:rPr>
        <w:t xml:space="preserve"> </w:t>
      </w:r>
      <w:r>
        <w:rPr>
          <w:lang w:eastAsia="zh-CN"/>
        </w:rPr>
        <w:t>0.1</w:t>
      </w:r>
      <w:r>
        <w:rPr>
          <w:spacing w:val="2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个绩点。</w:t>
      </w:r>
      <w:r>
        <w:rPr>
          <w:lang w:eastAsia="zh-CN"/>
        </w:rPr>
        <w:t>95</w:t>
      </w:r>
      <w:r>
        <w:rPr>
          <w:spacing w:val="4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分（含）以上统一记为</w:t>
      </w:r>
      <w:r>
        <w:rPr>
          <w:rFonts w:ascii="宋体" w:hAnsi="宋体" w:eastAsia="宋体" w:cs="宋体"/>
          <w:spacing w:val="-53"/>
          <w:lang w:eastAsia="zh-CN"/>
        </w:rPr>
        <w:t xml:space="preserve"> </w:t>
      </w:r>
      <w:r>
        <w:rPr>
          <w:lang w:eastAsia="zh-CN"/>
        </w:rPr>
        <w:t>5.0</w:t>
      </w:r>
      <w:r>
        <w:rPr>
          <w:rFonts w:ascii="宋体" w:hAnsi="宋体" w:eastAsia="宋体" w:cs="宋体"/>
          <w:lang w:eastAsia="zh-CN"/>
        </w:rPr>
        <w:t>。</w:t>
      </w:r>
    </w:p>
    <w:p w14:paraId="7E4B1F85">
      <w:pPr>
        <w:pStyle w:val="3"/>
        <w:spacing w:before="59" w:line="295" w:lineRule="auto"/>
        <w:ind w:right="126"/>
        <w:jc w:val="both"/>
      </w:pPr>
      <w:r>
        <w:t xml:space="preserve">For courses using percentage grading system, 60 points is 1.0 </w:t>
      </w:r>
      <w:r>
        <w:rPr>
          <w:spacing w:val="-5"/>
        </w:rPr>
        <w:t xml:space="preserve">GPA, </w:t>
      </w:r>
      <w:r>
        <w:t>below 60 points is</w:t>
      </w:r>
      <w:r>
        <w:rPr>
          <w:spacing w:val="23"/>
        </w:rPr>
        <w:t xml:space="preserve"> </w:t>
      </w:r>
      <w:r>
        <w:t xml:space="preserve">0. 60-95 points (not included) increases 0.1 </w:t>
      </w:r>
      <w:r>
        <w:rPr>
          <w:spacing w:val="-6"/>
        </w:rPr>
        <w:t xml:space="preserve">GPA </w:t>
      </w:r>
      <w:r>
        <w:t>for each additional point. 95 points</w:t>
      </w:r>
      <w:r>
        <w:rPr>
          <w:spacing w:val="4"/>
        </w:rPr>
        <w:t xml:space="preserve"> </w:t>
      </w:r>
      <w:r>
        <w:t>(included) or more is uniformly recorded as</w:t>
      </w:r>
      <w:r>
        <w:rPr>
          <w:spacing w:val="10"/>
        </w:rPr>
        <w:t xml:space="preserve"> </w:t>
      </w:r>
      <w:r>
        <w:t>5.0.</w:t>
      </w:r>
    </w:p>
    <w:p w14:paraId="7D6742C7">
      <w:pPr>
        <w:pStyle w:val="3"/>
        <w:spacing w:line="256" w:lineRule="exact"/>
        <w:jc w:val="both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五级考核制度的课程对应的绩点分别是：优秀为</w:t>
      </w:r>
      <w:r>
        <w:rPr>
          <w:rFonts w:ascii="宋体" w:hAnsi="宋体" w:eastAsia="宋体" w:cs="宋体"/>
          <w:spacing w:val="-50"/>
          <w:lang w:eastAsia="zh-CN"/>
        </w:rPr>
        <w:t xml:space="preserve"> </w:t>
      </w:r>
      <w:r>
        <w:rPr>
          <w:lang w:eastAsia="zh-CN"/>
        </w:rPr>
        <w:t>4.5</w:t>
      </w:r>
      <w:r>
        <w:rPr>
          <w:spacing w:val="8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个绩点，良好为</w:t>
      </w:r>
      <w:r>
        <w:rPr>
          <w:rFonts w:ascii="宋体" w:hAnsi="宋体" w:eastAsia="宋体" w:cs="宋体"/>
          <w:spacing w:val="-47"/>
          <w:lang w:eastAsia="zh-CN"/>
        </w:rPr>
        <w:t xml:space="preserve"> </w:t>
      </w:r>
      <w:r>
        <w:rPr>
          <w:lang w:eastAsia="zh-CN"/>
        </w:rPr>
        <w:t>3.5</w:t>
      </w:r>
      <w:r>
        <w:rPr>
          <w:spacing w:val="9"/>
          <w:lang w:eastAsia="zh-CN"/>
        </w:rPr>
        <w:t xml:space="preserve"> </w:t>
      </w:r>
      <w:r>
        <w:rPr>
          <w:rFonts w:ascii="宋体" w:hAnsi="宋体" w:eastAsia="宋体" w:cs="宋体"/>
          <w:lang w:eastAsia="zh-CN"/>
        </w:rPr>
        <w:t>个绩点，中等</w:t>
      </w:r>
    </w:p>
    <w:p w14:paraId="18900157">
      <w:pPr>
        <w:pStyle w:val="3"/>
        <w:spacing w:before="7"/>
        <w:jc w:val="both"/>
        <w:rPr>
          <w:rFonts w:ascii="宋体" w:hAnsi="宋体" w:eastAsia="宋体" w:cs="宋体"/>
          <w:lang w:eastAsia="zh-CN"/>
        </w:rPr>
      </w:pPr>
      <w:r>
        <w:rPr>
          <w:rFonts w:ascii="宋体" w:hAnsi="宋体" w:eastAsia="宋体" w:cs="宋体"/>
          <w:lang w:eastAsia="zh-CN"/>
        </w:rPr>
        <w:t>为</w:t>
      </w:r>
      <w:r>
        <w:rPr>
          <w:rFonts w:ascii="宋体" w:hAnsi="宋体" w:eastAsia="宋体" w:cs="宋体"/>
          <w:spacing w:val="-51"/>
          <w:lang w:eastAsia="zh-CN"/>
        </w:rPr>
        <w:t xml:space="preserve"> </w:t>
      </w:r>
      <w:r>
        <w:rPr>
          <w:lang w:eastAsia="zh-CN"/>
        </w:rPr>
        <w:t xml:space="preserve">2.5 </w:t>
      </w:r>
      <w:r>
        <w:rPr>
          <w:rFonts w:ascii="宋体" w:hAnsi="宋体" w:eastAsia="宋体" w:cs="宋体"/>
          <w:lang w:eastAsia="zh-CN"/>
        </w:rPr>
        <w:t>个绩点，及格为</w:t>
      </w:r>
      <w:r>
        <w:rPr>
          <w:rFonts w:ascii="宋体" w:hAnsi="宋体" w:eastAsia="宋体" w:cs="宋体"/>
          <w:spacing w:val="-51"/>
          <w:lang w:eastAsia="zh-CN"/>
        </w:rPr>
        <w:t xml:space="preserve"> </w:t>
      </w:r>
      <w:r>
        <w:rPr>
          <w:lang w:eastAsia="zh-CN"/>
        </w:rPr>
        <w:t xml:space="preserve">1.5 </w:t>
      </w:r>
      <w:r>
        <w:rPr>
          <w:rFonts w:ascii="宋体" w:hAnsi="宋体" w:eastAsia="宋体" w:cs="宋体"/>
          <w:lang w:eastAsia="zh-CN"/>
        </w:rPr>
        <w:t>个绩点，不及格为</w:t>
      </w:r>
      <w:r>
        <w:rPr>
          <w:rFonts w:ascii="宋体" w:hAnsi="宋体" w:eastAsia="宋体" w:cs="宋体"/>
          <w:spacing w:val="-54"/>
          <w:lang w:eastAsia="zh-CN"/>
        </w:rPr>
        <w:t xml:space="preserve"> </w:t>
      </w:r>
      <w:r>
        <w:rPr>
          <w:lang w:eastAsia="zh-CN"/>
        </w:rPr>
        <w:t>0</w:t>
      </w:r>
      <w:r>
        <w:rPr>
          <w:rFonts w:ascii="宋体" w:hAnsi="宋体" w:eastAsia="宋体" w:cs="宋体"/>
          <w:lang w:eastAsia="zh-CN"/>
        </w:rPr>
        <w:t>。</w:t>
      </w:r>
    </w:p>
    <w:p w14:paraId="7C9114A6">
      <w:pPr>
        <w:pStyle w:val="3"/>
        <w:spacing w:before="59" w:line="295" w:lineRule="auto"/>
        <w:ind w:right="113"/>
        <w:jc w:val="both"/>
      </w:pPr>
      <w:r>
        <w:t>The</w:t>
      </w:r>
      <w:r>
        <w:rPr>
          <w:spacing w:val="41"/>
        </w:rPr>
        <w:t xml:space="preserve"> </w:t>
      </w:r>
      <w:r>
        <w:t>corresponding</w:t>
      </w:r>
      <w:r>
        <w:rPr>
          <w:spacing w:val="42"/>
        </w:rPr>
        <w:t xml:space="preserve"> </w:t>
      </w:r>
      <w:r>
        <w:rPr>
          <w:spacing w:val="-6"/>
        </w:rPr>
        <w:t>GPA</w:t>
      </w:r>
      <w:r>
        <w:rPr>
          <w:spacing w:val="25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courses</w:t>
      </w:r>
      <w:r>
        <w:rPr>
          <w:spacing w:val="42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five-level</w:t>
      </w:r>
      <w:r>
        <w:rPr>
          <w:spacing w:val="48"/>
        </w:rPr>
        <w:t xml:space="preserve"> </w:t>
      </w:r>
      <w:r>
        <w:t>assessment</w:t>
      </w:r>
      <w:r>
        <w:rPr>
          <w:spacing w:val="43"/>
        </w:rPr>
        <w:t xml:space="preserve"> </w:t>
      </w:r>
      <w:r>
        <w:t>system:</w:t>
      </w:r>
      <w:r>
        <w:rPr>
          <w:spacing w:val="45"/>
        </w:rPr>
        <w:t xml:space="preserve"> </w:t>
      </w:r>
      <w:r>
        <w:t>Excellent</w:t>
      </w:r>
      <w:r>
        <w:rPr>
          <w:spacing w:val="46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4.5 grade</w:t>
      </w:r>
      <w:r>
        <w:rPr>
          <w:spacing w:val="14"/>
        </w:rPr>
        <w:t xml:space="preserve"> </w:t>
      </w:r>
      <w:r>
        <w:t>points,</w:t>
      </w:r>
      <w:r>
        <w:rPr>
          <w:spacing w:val="19"/>
        </w:rPr>
        <w:t xml:space="preserve"> </w:t>
      </w:r>
      <w:r>
        <w:t>Good</w:t>
      </w:r>
      <w:r>
        <w:rPr>
          <w:spacing w:val="14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3.5</w:t>
      </w:r>
      <w:r>
        <w:rPr>
          <w:spacing w:val="14"/>
        </w:rPr>
        <w:t xml:space="preserve"> </w:t>
      </w:r>
      <w:r>
        <w:t>grade</w:t>
      </w:r>
      <w:r>
        <w:rPr>
          <w:spacing w:val="16"/>
        </w:rPr>
        <w:t xml:space="preserve"> </w:t>
      </w:r>
      <w:r>
        <w:t>points,</w:t>
      </w:r>
      <w:r>
        <w:rPr>
          <w:spacing w:val="3"/>
        </w:rPr>
        <w:t xml:space="preserve"> </w:t>
      </w:r>
      <w:r>
        <w:t>Average</w:t>
      </w:r>
      <w:r>
        <w:rPr>
          <w:spacing w:val="16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2.5</w:t>
      </w:r>
      <w:r>
        <w:rPr>
          <w:spacing w:val="16"/>
        </w:rPr>
        <w:t xml:space="preserve"> </w:t>
      </w:r>
      <w:r>
        <w:t>grade</w:t>
      </w:r>
      <w:r>
        <w:rPr>
          <w:spacing w:val="16"/>
        </w:rPr>
        <w:t xml:space="preserve"> </w:t>
      </w:r>
      <w:r>
        <w:t>points,</w:t>
      </w:r>
      <w:r>
        <w:rPr>
          <w:spacing w:val="19"/>
        </w:rPr>
        <w:t xml:space="preserve"> </w:t>
      </w:r>
      <w:r>
        <w:t>Pass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1.5</w:t>
      </w:r>
      <w:r>
        <w:rPr>
          <w:spacing w:val="14"/>
        </w:rPr>
        <w:t xml:space="preserve"> </w:t>
      </w:r>
      <w:r>
        <w:t>grade</w:t>
      </w:r>
      <w:r>
        <w:rPr>
          <w:spacing w:val="16"/>
        </w:rPr>
        <w:t xml:space="preserve"> </w:t>
      </w:r>
      <w:r>
        <w:t>points, and Fail is 0.</w:t>
      </w:r>
    </w:p>
    <w:p w14:paraId="45B37B78">
      <w:pPr>
        <w:numPr>
          <w:ilvl w:val="0"/>
          <w:numId w:val="1"/>
        </w:numPr>
        <w:spacing w:before="88"/>
        <w:ind w:right="106"/>
        <w:jc w:val="both"/>
        <w:rPr>
          <w:rFonts w:ascii="宋体" w:hAnsi="宋体" w:eastAsia="宋体" w:cs="宋体"/>
          <w:w w:val="105"/>
        </w:rPr>
      </w:pPr>
      <w:r>
        <w:rPr>
          <w:rFonts w:ascii="宋体" w:hAnsi="宋体" w:eastAsia="宋体" w:cs="宋体"/>
          <w:w w:val="105"/>
        </w:rPr>
        <w:t>考核成绩与绩点的对应表（</w:t>
      </w:r>
      <w:r>
        <w:rPr>
          <w:rFonts w:ascii="Times New Roman" w:hAnsi="Times New Roman" w:eastAsia="Times New Roman" w:cs="Times New Roman"/>
          <w:w w:val="105"/>
        </w:rPr>
        <w:t>The</w:t>
      </w:r>
      <w:r>
        <w:rPr>
          <w:rFonts w:ascii="Times New Roman" w:hAnsi="Times New Roman" w:eastAsia="Times New Roman" w:cs="Times New Roman"/>
          <w:spacing w:val="-12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correspondence</w:t>
      </w:r>
      <w:r>
        <w:rPr>
          <w:rFonts w:ascii="Times New Roman" w:hAnsi="Times New Roman" w:eastAsia="Times New Roman" w:cs="Times New Roman"/>
          <w:spacing w:val="-10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table</w:t>
      </w:r>
      <w:r>
        <w:rPr>
          <w:rFonts w:ascii="Times New Roman" w:hAnsi="Times New Roman" w:eastAsia="Times New Roman" w:cs="Times New Roman"/>
          <w:spacing w:val="-12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of</w:t>
      </w:r>
      <w:r>
        <w:rPr>
          <w:rFonts w:ascii="Times New Roman" w:hAnsi="Times New Roman" w:eastAsia="Times New Roman" w:cs="Times New Roman"/>
          <w:spacing w:val="-11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test</w:t>
      </w:r>
      <w:r>
        <w:rPr>
          <w:rFonts w:ascii="Times New Roman" w:hAnsi="Times New Roman" w:eastAsia="Times New Roman" w:cs="Times New Roman"/>
          <w:spacing w:val="-13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scores</w:t>
      </w:r>
      <w:r>
        <w:rPr>
          <w:rFonts w:ascii="Times New Roman" w:hAnsi="Times New Roman" w:eastAsia="Times New Roman" w:cs="Times New Roman"/>
          <w:spacing w:val="-16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and</w:t>
      </w:r>
      <w:r>
        <w:rPr>
          <w:rFonts w:ascii="Times New Roman" w:hAnsi="Times New Roman" w:eastAsia="Times New Roman" w:cs="Times New Roman"/>
          <w:spacing w:val="-13"/>
          <w:w w:val="105"/>
        </w:rPr>
        <w:t xml:space="preserve"> </w:t>
      </w:r>
      <w:r>
        <w:rPr>
          <w:rFonts w:ascii="Times New Roman" w:hAnsi="Times New Roman" w:eastAsia="Times New Roman" w:cs="Times New Roman"/>
          <w:w w:val="105"/>
        </w:rPr>
        <w:t>GPA</w:t>
      </w:r>
      <w:r>
        <w:rPr>
          <w:rFonts w:ascii="宋体" w:hAnsi="宋体" w:eastAsia="宋体" w:cs="宋体"/>
          <w:w w:val="105"/>
        </w:rPr>
        <w:t>）</w:t>
      </w:r>
    </w:p>
    <w:p w14:paraId="0C1EDA16">
      <w:pPr>
        <w:numPr>
          <w:ilvl w:val="0"/>
          <w:numId w:val="0"/>
        </w:numPr>
        <w:spacing w:before="88"/>
        <w:ind w:right="106" w:rightChars="0"/>
        <w:jc w:val="both"/>
        <w:rPr>
          <w:rFonts w:ascii="宋体" w:hAnsi="宋体" w:eastAsia="宋体" w:cs="宋体"/>
          <w:w w:val="105"/>
        </w:rPr>
      </w:pPr>
    </w:p>
    <w:tbl>
      <w:tblPr>
        <w:tblStyle w:val="6"/>
        <w:tblW w:w="8155" w:type="dxa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100"/>
        <w:gridCol w:w="2459"/>
        <w:gridCol w:w="1600"/>
      </w:tblGrid>
      <w:tr w14:paraId="1ED9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096" w:type="dxa"/>
            <w:gridSpan w:val="2"/>
            <w:vAlign w:val="center"/>
          </w:tcPr>
          <w:p w14:paraId="7F24E4B9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百分制考核成绩</w:t>
            </w:r>
            <w:bookmarkStart w:id="0" w:name="OLE_LINK1"/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与绩点的对应关系</w:t>
            </w:r>
            <w:bookmarkEnd w:id="0"/>
          </w:p>
          <w:p w14:paraId="117613F3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Hundred Mark &amp; Grade Point Relations</w:t>
            </w:r>
          </w:p>
        </w:tc>
        <w:tc>
          <w:tcPr>
            <w:tcW w:w="4059" w:type="dxa"/>
            <w:gridSpan w:val="2"/>
            <w:vAlign w:val="center"/>
          </w:tcPr>
          <w:p w14:paraId="639C19AB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五级制考核成绩</w:t>
            </w:r>
            <w:bookmarkStart w:id="1" w:name="OLE_LINK2"/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与绩点的对应关系</w:t>
            </w:r>
            <w:bookmarkEnd w:id="1"/>
          </w:p>
          <w:p w14:paraId="62AEEF58">
            <w:pPr>
              <w:pStyle w:val="4"/>
              <w:widowControl/>
              <w:spacing w:beforeAutospacing="0" w:afterAutospacing="0"/>
              <w:ind w:firstLine="42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 &amp; Grade Point Relations</w:t>
            </w:r>
          </w:p>
        </w:tc>
      </w:tr>
      <w:tr w14:paraId="2E9B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96" w:type="dxa"/>
            <w:vAlign w:val="center"/>
          </w:tcPr>
          <w:p w14:paraId="6384ECD8">
            <w:pPr>
              <w:pStyle w:val="4"/>
              <w:widowControl/>
              <w:spacing w:beforeAutospacing="0" w:afterAutospacing="0"/>
              <w:jc w:val="center"/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百分制成绩</w:t>
            </w:r>
          </w:p>
          <w:p w14:paraId="7A6E87E3">
            <w:pPr>
              <w:pStyle w:val="4"/>
              <w:widowControl/>
              <w:spacing w:beforeAutospacing="0" w:afterAutospacing="0"/>
              <w:jc w:val="center"/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Hundred Mark</w:t>
            </w:r>
          </w:p>
        </w:tc>
        <w:tc>
          <w:tcPr>
            <w:tcW w:w="2100" w:type="dxa"/>
            <w:vAlign w:val="center"/>
          </w:tcPr>
          <w:p w14:paraId="74D8B896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val="en-US" w:eastAsia="zh-CN" w:bidi="ar-SA"/>
              </w:rPr>
              <w:t>对应</w:t>
            </w: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绩点</w:t>
            </w:r>
          </w:p>
          <w:p w14:paraId="59025A51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 Points</w:t>
            </w:r>
          </w:p>
        </w:tc>
        <w:tc>
          <w:tcPr>
            <w:tcW w:w="2459" w:type="dxa"/>
            <w:vAlign w:val="center"/>
          </w:tcPr>
          <w:p w14:paraId="495DC1E1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五级制成绩</w:t>
            </w:r>
          </w:p>
          <w:p w14:paraId="776B6914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</w:t>
            </w:r>
          </w:p>
        </w:tc>
        <w:tc>
          <w:tcPr>
            <w:tcW w:w="1600" w:type="dxa"/>
            <w:vAlign w:val="center"/>
          </w:tcPr>
          <w:p w14:paraId="4E3C3967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val="en-US" w:eastAsia="zh-CN" w:bidi="ar-SA"/>
              </w:rPr>
              <w:t>对应</w:t>
            </w:r>
            <w:r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  <w:t>绩点</w:t>
            </w:r>
          </w:p>
          <w:p w14:paraId="26524B9D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Cambria Math" w:eastAsia="宋体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Grade Points</w:t>
            </w:r>
          </w:p>
        </w:tc>
      </w:tr>
      <w:tr w14:paraId="1B01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 w14:paraId="39373FF4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95 - 100</w:t>
            </w:r>
          </w:p>
        </w:tc>
        <w:tc>
          <w:tcPr>
            <w:tcW w:w="2100" w:type="dxa"/>
          </w:tcPr>
          <w:p w14:paraId="614B2155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5</w:t>
            </w:r>
          </w:p>
        </w:tc>
        <w:tc>
          <w:tcPr>
            <w:tcW w:w="2459" w:type="dxa"/>
            <w:vAlign w:val="top"/>
          </w:tcPr>
          <w:p w14:paraId="21FF0CAC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lang w:val="en-US" w:eastAsia="zh-CN" w:bidi="ar-SA"/>
              </w:rPr>
              <w:t xml:space="preserve"> 优秀</w:t>
            </w: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cs="Times New Roman"/>
                <w:kern w:val="2"/>
                <w:lang w:val="en-US" w:eastAsia="zh-CN" w:bidi="ar-SA"/>
              </w:rPr>
              <w:t xml:space="preserve">  (</w:t>
            </w:r>
            <w:r>
              <w:rPr>
                <w:rFonts w:hint="default" w:ascii="Times New Roman" w:hAnsi="Times New Roman" w:cs="Times New Roman"/>
                <w:kern w:val="2"/>
                <w:lang w:bidi="ar-SA"/>
              </w:rPr>
              <w:t>90 - 100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 w:bidi="ar-SA"/>
              </w:rPr>
              <w:t>)</w:t>
            </w:r>
          </w:p>
        </w:tc>
        <w:tc>
          <w:tcPr>
            <w:tcW w:w="1600" w:type="dxa"/>
          </w:tcPr>
          <w:p w14:paraId="3025B884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4.5</w:t>
            </w:r>
          </w:p>
        </w:tc>
      </w:tr>
      <w:tr w14:paraId="02EF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 w14:paraId="2ACFABB1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94</w:t>
            </w:r>
          </w:p>
        </w:tc>
        <w:tc>
          <w:tcPr>
            <w:tcW w:w="2100" w:type="dxa"/>
          </w:tcPr>
          <w:p w14:paraId="13742034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4.4</w:t>
            </w:r>
          </w:p>
        </w:tc>
        <w:tc>
          <w:tcPr>
            <w:tcW w:w="2459" w:type="dxa"/>
            <w:vAlign w:val="top"/>
          </w:tcPr>
          <w:p w14:paraId="30F7428C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lang w:val="en-US" w:eastAsia="zh-CN" w:bidi="ar-SA"/>
              </w:rPr>
              <w:t>良好</w:t>
            </w: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b</w:t>
            </w:r>
            <w:r>
              <w:rPr>
                <w:rFonts w:hint="eastAsia" w:ascii="Times New Roman" w:hAnsi="Times New Roman" w:cs="Times New Roman"/>
                <w:kern w:val="2"/>
                <w:lang w:val="en-US" w:eastAsia="zh-CN" w:bidi="ar-SA"/>
              </w:rPr>
              <w:t xml:space="preserve">  (</w:t>
            </w:r>
            <w:r>
              <w:rPr>
                <w:rFonts w:hint="default" w:ascii="Times New Roman" w:hAnsi="Times New Roman" w:cs="Times New Roman"/>
                <w:kern w:val="2"/>
                <w:lang w:bidi="ar-SA"/>
              </w:rPr>
              <w:t>80 - 90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 w:bidi="ar-SA"/>
              </w:rPr>
              <w:t>)</w:t>
            </w:r>
          </w:p>
        </w:tc>
        <w:tc>
          <w:tcPr>
            <w:tcW w:w="1600" w:type="dxa"/>
          </w:tcPr>
          <w:p w14:paraId="72B095CF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3.5</w:t>
            </w:r>
          </w:p>
        </w:tc>
      </w:tr>
      <w:tr w14:paraId="4023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 w14:paraId="48C28615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......</w:t>
            </w:r>
          </w:p>
        </w:tc>
        <w:tc>
          <w:tcPr>
            <w:tcW w:w="2100" w:type="dxa"/>
          </w:tcPr>
          <w:p w14:paraId="032A8C22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......</w:t>
            </w:r>
          </w:p>
        </w:tc>
        <w:tc>
          <w:tcPr>
            <w:tcW w:w="2459" w:type="dxa"/>
            <w:vAlign w:val="top"/>
          </w:tcPr>
          <w:p w14:paraId="17A1BE33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lang w:val="en-US" w:eastAsia="zh-CN" w:bidi="ar-SA"/>
              </w:rPr>
              <w:t>中等</w:t>
            </w: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c</w:t>
            </w:r>
            <w:r>
              <w:rPr>
                <w:rFonts w:hint="eastAsia" w:ascii="Times New Roman" w:hAnsi="Times New Roman" w:cs="Times New Roman"/>
                <w:kern w:val="2"/>
                <w:lang w:val="en-US" w:eastAsia="zh-CN" w:bidi="ar-SA"/>
              </w:rPr>
              <w:t xml:space="preserve">  (</w:t>
            </w:r>
            <w:r>
              <w:rPr>
                <w:rFonts w:hint="default" w:ascii="Times New Roman" w:hAnsi="Times New Roman" w:cs="Times New Roman"/>
                <w:kern w:val="2"/>
                <w:lang w:bidi="ar-SA"/>
              </w:rPr>
              <w:t>70 - 80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 w:bidi="ar-SA"/>
              </w:rPr>
              <w:t>)</w:t>
            </w:r>
          </w:p>
        </w:tc>
        <w:tc>
          <w:tcPr>
            <w:tcW w:w="1600" w:type="dxa"/>
          </w:tcPr>
          <w:p w14:paraId="78220703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2.5</w:t>
            </w:r>
          </w:p>
        </w:tc>
      </w:tr>
      <w:tr w14:paraId="5A10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 w14:paraId="77A8916E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61</w:t>
            </w:r>
          </w:p>
        </w:tc>
        <w:tc>
          <w:tcPr>
            <w:tcW w:w="2100" w:type="dxa"/>
          </w:tcPr>
          <w:p w14:paraId="1779E57B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1.1</w:t>
            </w:r>
          </w:p>
        </w:tc>
        <w:tc>
          <w:tcPr>
            <w:tcW w:w="2459" w:type="dxa"/>
            <w:vAlign w:val="top"/>
          </w:tcPr>
          <w:p w14:paraId="204F245E">
            <w:pPr>
              <w:pStyle w:val="4"/>
              <w:widowControl/>
              <w:spacing w:beforeAutospacing="0" w:afterAutospacing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lang w:val="en-US" w:eastAsia="zh-CN" w:bidi="ar-SA"/>
              </w:rPr>
              <w:t>及格</w:t>
            </w: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d</w:t>
            </w:r>
            <w:r>
              <w:rPr>
                <w:rFonts w:hint="eastAsia" w:ascii="Times New Roman" w:hAnsi="Times New Roman" w:cs="Times New Roman"/>
                <w:kern w:val="2"/>
                <w:lang w:val="en-US" w:eastAsia="zh-CN" w:bidi="ar-SA"/>
              </w:rPr>
              <w:t xml:space="preserve">  (</w:t>
            </w:r>
            <w:r>
              <w:rPr>
                <w:rFonts w:hint="default" w:ascii="Times New Roman" w:hAnsi="Times New Roman" w:cs="Times New Roman"/>
                <w:kern w:val="2"/>
                <w:lang w:bidi="ar-SA"/>
              </w:rPr>
              <w:t>60 - 70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 w:bidi="ar-SA"/>
              </w:rPr>
              <w:t>)</w:t>
            </w:r>
          </w:p>
        </w:tc>
        <w:tc>
          <w:tcPr>
            <w:tcW w:w="1600" w:type="dxa"/>
          </w:tcPr>
          <w:p w14:paraId="52F5C090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1.5</w:t>
            </w:r>
          </w:p>
        </w:tc>
      </w:tr>
      <w:tr w14:paraId="3BFA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 w14:paraId="08784F68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60（或补考及格）</w:t>
            </w:r>
          </w:p>
        </w:tc>
        <w:tc>
          <w:tcPr>
            <w:tcW w:w="2100" w:type="dxa"/>
          </w:tcPr>
          <w:p w14:paraId="12845BFC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1.0</w:t>
            </w:r>
          </w:p>
        </w:tc>
        <w:tc>
          <w:tcPr>
            <w:tcW w:w="2459" w:type="dxa"/>
            <w:vAlign w:val="top"/>
          </w:tcPr>
          <w:p w14:paraId="6AE8FE2B">
            <w:pPr>
              <w:pStyle w:val="4"/>
              <w:widowControl/>
              <w:spacing w:beforeAutospacing="0" w:afterAutospacing="0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60#</w:t>
            </w:r>
          </w:p>
        </w:tc>
        <w:tc>
          <w:tcPr>
            <w:tcW w:w="1600" w:type="dxa"/>
          </w:tcPr>
          <w:p w14:paraId="7DD20DEE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1.0</w:t>
            </w:r>
          </w:p>
        </w:tc>
      </w:tr>
      <w:tr w14:paraId="3706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</w:tcPr>
          <w:p w14:paraId="4CD8B413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60以下</w:t>
            </w:r>
          </w:p>
        </w:tc>
        <w:tc>
          <w:tcPr>
            <w:tcW w:w="2100" w:type="dxa"/>
          </w:tcPr>
          <w:p w14:paraId="36369093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0</w:t>
            </w:r>
          </w:p>
        </w:tc>
        <w:tc>
          <w:tcPr>
            <w:tcW w:w="2459" w:type="dxa"/>
            <w:vAlign w:val="top"/>
          </w:tcPr>
          <w:p w14:paraId="1FACF246">
            <w:pPr>
              <w:pStyle w:val="4"/>
              <w:widowControl/>
              <w:spacing w:beforeAutospacing="0" w:afterAutospacing="0"/>
              <w:ind w:firstLine="240" w:firstLineChars="10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kern w:val="2"/>
                <w:lang w:val="en-US" w:eastAsia="zh-CN" w:bidi="ar-SA"/>
              </w:rPr>
              <w:t>不及格</w:t>
            </w:r>
            <w:r>
              <w:rPr>
                <w:rFonts w:hint="default" w:ascii="Times New Roman" w:hAnsi="Times New Roman" w:cs="Times New Roman"/>
                <w:kern w:val="2"/>
                <w:lang w:val="en-US" w:eastAsia="zh-CN" w:bidi="ar-SA"/>
              </w:rPr>
              <w:t>e</w:t>
            </w:r>
            <w:r>
              <w:rPr>
                <w:rFonts w:hint="eastAsia" w:ascii="Times New Roman" w:hAnsi="Times New Roman" w:cs="Times New Roman"/>
                <w:kern w:val="2"/>
                <w:lang w:val="en-US" w:eastAsia="zh-CN" w:bidi="ar-SA"/>
              </w:rPr>
              <w:t xml:space="preserve">  (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kern w:val="2"/>
                  <w:lang w:val="en-US" w:bidi="ar-SA"/>
                </w:rPr>
                <m:t>&lt;</m:t>
              </m:r>
            </m:oMath>
            <w:r>
              <w:rPr>
                <w:rFonts w:hint="eastAsia" w:hAnsi="Cambria Math" w:eastAsia="宋体" w:cs="Times New Roman"/>
                <w:i w:val="0"/>
                <w:kern w:val="2"/>
                <w:lang w:val="en-US" w:eastAsia="zh-CN" w:bidi="ar-SA"/>
              </w:rPr>
              <w:t>60)</w:t>
            </w:r>
          </w:p>
        </w:tc>
        <w:tc>
          <w:tcPr>
            <w:tcW w:w="1600" w:type="dxa"/>
          </w:tcPr>
          <w:p w14:paraId="566C46FF">
            <w:pPr>
              <w:pStyle w:val="4"/>
              <w:widowControl/>
              <w:spacing w:beforeAutospacing="0" w:afterAutospacing="0"/>
              <w:jc w:val="center"/>
              <w:rPr>
                <w:rFonts w:hAnsi="Cambria Math" w:cs="Times New Roman"/>
                <w:kern w:val="2"/>
                <w:sz w:val="21"/>
                <w:szCs w:val="24"/>
                <w:lang w:bidi="ar-SA"/>
              </w:rPr>
            </w:pPr>
            <w:r>
              <w:rPr>
                <w:rFonts w:hint="eastAsia" w:hAnsi="Cambria Math" w:cs="Times New Roman"/>
                <w:kern w:val="2"/>
                <w:sz w:val="21"/>
                <w:szCs w:val="24"/>
                <w:lang w:bidi="ar-SA"/>
              </w:rPr>
              <w:t>0</w:t>
            </w:r>
          </w:p>
        </w:tc>
      </w:tr>
    </w:tbl>
    <w:p w14:paraId="7FD49499">
      <w:pPr>
        <w:spacing w:before="88"/>
        <w:ind w:right="106"/>
        <w:jc w:val="both"/>
        <w:rPr>
          <w:rFonts w:ascii="宋体" w:hAnsi="宋体" w:eastAsia="宋体" w:cs="宋体"/>
          <w:w w:val="105"/>
        </w:rPr>
      </w:pPr>
    </w:p>
    <w:p w14:paraId="523A6A19">
      <w:pPr>
        <w:wordWrap w:val="0"/>
        <w:spacing w:before="88"/>
        <w:ind w:right="106"/>
        <w:jc w:val="right"/>
        <w:rPr>
          <w:rStyle w:val="7"/>
          <w:rFonts w:hint="default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  <w:r>
        <w:rPr>
          <w:rStyle w:val="7"/>
          <w:rFonts w:hint="eastAsia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  <w:t xml:space="preserve">聊城大学教务处（章）                 </w:t>
      </w:r>
    </w:p>
    <w:p w14:paraId="05F8970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righ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Office of Academic Affairs, Liaocheng University(Seal)</w:t>
      </w:r>
    </w:p>
    <w:p w14:paraId="2C8FED23">
      <w:pPr>
        <w:wordWrap w:val="0"/>
        <w:spacing w:before="88"/>
        <w:ind w:right="106"/>
        <w:jc w:val="right"/>
        <w:rPr>
          <w:rStyle w:val="7"/>
          <w:rFonts w:hint="default" w:hAnsi="Cambria Math" w:cs="Times New Roman"/>
          <w:i w:val="0"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Date: 2025.9.8</w:t>
      </w:r>
      <w:bookmarkStart w:id="2" w:name="_GoBack"/>
      <w:bookmarkEnd w:id="2"/>
      <w:r>
        <w:rPr>
          <w:rFonts w:hint="eastAsia" w:ascii="Times New Roman" w:hAnsi="Times New Roman" w:cs="Times New Roman"/>
          <w:lang w:val="en-US" w:eastAsia="zh-CN"/>
        </w:rPr>
        <w:t xml:space="preserve">                       </w:t>
      </w:r>
    </w:p>
    <w:sectPr>
      <w:type w:val="continuous"/>
      <w:pgSz w:w="11910" w:h="16840"/>
      <w:pgMar w:top="780" w:right="16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D5628"/>
    <w:multiLevelType w:val="singleLevel"/>
    <w:tmpl w:val="795D56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I0ODE1NmM1ODU0ZTNiMTA5YmY3MGJmODc0MGQzMTgifQ=="/>
  </w:docVars>
  <w:rsids>
    <w:rsidRoot w:val="00554503"/>
    <w:rsid w:val="000F60C8"/>
    <w:rsid w:val="00554503"/>
    <w:rsid w:val="00CE2AD3"/>
    <w:rsid w:val="053040C4"/>
    <w:rsid w:val="09BC5BFC"/>
    <w:rsid w:val="0DB152CC"/>
    <w:rsid w:val="2B6621F9"/>
    <w:rsid w:val="2BBB310B"/>
    <w:rsid w:val="46A73A0D"/>
    <w:rsid w:val="480761D5"/>
    <w:rsid w:val="68C1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60"/>
      <w:outlineLvl w:val="0"/>
    </w:pPr>
    <w:rPr>
      <w:rFonts w:ascii="Times New Roman" w:hAnsi="Times New Roman" w:eastAsia="Times New Roman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Times New Roman" w:hAnsi="Times New Roman" w:eastAsia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487</Words>
  <Characters>1210</Characters>
  <Lines>9</Lines>
  <Paragraphs>2</Paragraphs>
  <TotalTime>0</TotalTime>
  <ScaleCrop>false</ScaleCrop>
  <LinksUpToDate>false</LinksUpToDate>
  <CharactersWithSpaces>1384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2023-11-15T11:20:00Z</dcterms:created>
  <dc:creator>wy</dc:creator>
  <cp:lastModifiedBy>李绍勇</cp:lastModifiedBy>
  <cp:lastPrinted>2025-09-08T07:12:26Z</cp:lastPrinted>
  <dcterms:modified xsi:type="dcterms:W3CDTF">2025-09-08T07:12:31Z</dcterms:modified>
  <dc:title>(ûÁ 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LastSaved">
    <vt:filetime>2023-11-15T00:00:00Z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C633DFFBD0714312A0954A4D4FDD8B48_12</vt:lpwstr>
  </property>
  <property fmtid="{D5CDD505-2E9C-101B-9397-08002B2CF9AE}" pid="6" name="KSOTemplateDocerSaveRecord">
    <vt:lpwstr>eyJoZGlkIjoiNDI0ODE1NmM1ODU0ZTNiMTA5YmY3MGJmODc0MGQzMTgiLCJ1c2VySWQiOiI0OTcxODE1OTEifQ==</vt:lpwstr>
  </property>
</Properties>
</file>